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Defaul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Колено PHARAON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(левый, правый)</w:t>
      </w:r>
    </w:p>
    <w:p>
      <w:pPr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>
      <w:pPr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Эндопротез коленного </w:t>
      </w:r>
      <w:proofErr w:type="gramStart"/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>сустава  цементной</w:t>
      </w:r>
      <w:proofErr w:type="gramEnd"/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фиксации  PHARAON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(без цемента),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производитель «ООО «НПК «СИНТЕЛ», Россия:</w:t>
      </w:r>
    </w:p>
    <w:p>
      <w:pPr>
        <w:pStyle w:val="4"/>
        <w:spacing w:before="0" w:after="0"/>
        <w:textAlignment w:val="baseline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Эндопротез коленного сустава цементной фиксации PHARAON, в составе:</w:t>
      </w:r>
    </w:p>
    <w:p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Бедренный компонент PHARAON - Материал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Кобальт-хромовый сплав</w:t>
      </w:r>
    </w:p>
    <w:p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Тибиальный компонент PHARAON - Материал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Кобальт-хромовый сплав</w:t>
      </w:r>
    </w:p>
    <w:p>
      <w:pPr>
        <w:pStyle w:val="a4"/>
        <w:numPr>
          <w:ilvl w:val="0"/>
          <w:numId w:val="1"/>
        </w:numPr>
        <w:rPr>
          <w:rFonts w:ascii="Times New Roman" w:eastAsia="Times New Roman" w:hAnsi="Times New Roman" w:cs="Times New Roman"/>
          <w:iCs/>
        </w:rPr>
      </w:pPr>
      <w:r>
        <w:rPr>
          <w:rFonts w:ascii="Times New Roman" w:hAnsi="Times New Roman" w:cs="Times New Roman"/>
        </w:rPr>
        <w:t>Вкладыш тибиальный – Материал   Сверхвысокомолекулярный полиэтилен</w:t>
      </w:r>
    </w:p>
    <w:p>
      <w:pPr>
        <w:rPr>
          <w:rFonts w:ascii="Times New Roman" w:eastAsia="Times New Roman" w:hAnsi="Times New Roman" w:cs="Times New Roman"/>
          <w:iCs/>
        </w:rPr>
      </w:pPr>
      <w:r>
        <w:rPr>
          <w:rFonts w:ascii="Times New Roman" w:eastAsia="Times New Roman" w:hAnsi="Times New Roman" w:cs="Times New Roman"/>
          <w:iCs/>
        </w:rPr>
        <w:t>Состоит из:</w:t>
      </w:r>
    </w:p>
    <w:tbl>
      <w:tblPr>
        <w:tblStyle w:val="a3"/>
        <w:tblW w:w="9376" w:type="dxa"/>
        <w:tblLook w:val="04A0" w:firstRow="1" w:lastRow="0" w:firstColumn="1" w:lastColumn="0" w:noHBand="0" w:noVBand="1"/>
      </w:tblPr>
      <w:tblGrid>
        <w:gridCol w:w="5622"/>
        <w:gridCol w:w="3754"/>
      </w:tblGrid>
      <w:tr>
        <w:trPr>
          <w:trHeight w:val="2174"/>
        </w:trPr>
        <w:tc>
          <w:tcPr>
            <w:tcW w:w="5622" w:type="dxa"/>
          </w:tcPr>
          <w:p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1 - Бедренный компонент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PHARAON  (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>левый, правый)</w:t>
            </w:r>
          </w:p>
          <w:p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Компонент эндопротеза коленного сустава феморальный непокрытый</w:t>
            </w:r>
          </w:p>
          <w:p>
            <w:pPr>
              <w:rPr>
                <w:rFonts w:ascii="Times New Roman" w:eastAsia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Материал</w:t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Кобальт-хромовый сплав</w:t>
            </w:r>
          </w:p>
        </w:tc>
        <w:tc>
          <w:tcPr>
            <w:tcW w:w="3754" w:type="dxa"/>
          </w:tcPr>
          <w:p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ru-RU"/>
              </w:rPr>
              <w:drawing>
                <wp:inline distT="0" distB="0" distL="0" distR="0">
                  <wp:extent cx="1781866" cy="1645920"/>
                  <wp:effectExtent l="0" t="0" r="889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3494" cy="16566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2376"/>
        </w:trPr>
        <w:tc>
          <w:tcPr>
            <w:tcW w:w="5622" w:type="dxa"/>
          </w:tcPr>
          <w:p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2 - Тибиальный компонент</w:t>
            </w:r>
          </w:p>
          <w:p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PHARAON (левый, правый)</w:t>
            </w:r>
          </w:p>
          <w:p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Компонент эндопротеза коленного сустава тибиальный непокрытый, металлический</w:t>
            </w:r>
          </w:p>
          <w:p>
            <w:pPr>
              <w:rPr>
                <w:rFonts w:ascii="Times New Roman" w:eastAsia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Материал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</w:p>
          <w:p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Кобальт-хромовый сплав</w:t>
            </w:r>
          </w:p>
        </w:tc>
        <w:tc>
          <w:tcPr>
            <w:tcW w:w="3754" w:type="dxa"/>
          </w:tcPr>
          <w:p>
            <w:pPr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ru-RU"/>
              </w:rPr>
              <w:drawing>
                <wp:inline distT="0" distB="0" distL="0" distR="0">
                  <wp:extent cx="1774149" cy="179832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0327" cy="18045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2353"/>
        </w:trPr>
        <w:tc>
          <w:tcPr>
            <w:tcW w:w="5622" w:type="dxa"/>
          </w:tcPr>
          <w:p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3 - Вкладыш тибиальный,</w:t>
            </w:r>
            <w:r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стандартный</w:t>
            </w:r>
            <w:r>
              <w:rPr>
                <w:rFonts w:ascii="Times New Roman" w:hAnsi="Times New Roman" w:cs="Times New Roman"/>
                <w:b/>
                <w:bCs/>
              </w:rPr>
              <w:t>,</w:t>
            </w:r>
          </w:p>
          <w:p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высота 10, 12, 14 мм</w:t>
            </w:r>
          </w:p>
          <w:p>
            <w:pPr>
              <w:rPr>
                <w:rFonts w:ascii="Times New Roman" w:hAnsi="Times New Roman" w:cs="Times New Roman"/>
                <w:b/>
                <w:bCs/>
              </w:rPr>
            </w:pP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Материал  </w:t>
            </w:r>
          </w:p>
          <w:p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Сверхвысокомолекулярный полиэтилен</w:t>
            </w:r>
          </w:p>
        </w:tc>
        <w:tc>
          <w:tcPr>
            <w:tcW w:w="3754" w:type="dxa"/>
          </w:tcPr>
          <w:p>
            <w:pPr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ru-RU"/>
              </w:rPr>
              <w:drawing>
                <wp:inline distT="0" distB="0" distL="0" distR="0">
                  <wp:extent cx="1742229" cy="177546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6739" cy="17902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2264"/>
        </w:trPr>
        <w:tc>
          <w:tcPr>
            <w:tcW w:w="5622" w:type="dxa"/>
          </w:tcPr>
          <w:p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Вкладыш тибиальный,</w:t>
            </w:r>
          </w:p>
          <w:p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</w:rPr>
              <w:t>стабилизирующий</w:t>
            </w:r>
            <w:r>
              <w:rPr>
                <w:rFonts w:ascii="Times New Roman" w:hAnsi="Times New Roman" w:cs="Times New Roman"/>
                <w:b/>
                <w:bCs/>
              </w:rPr>
              <w:t>, высота 10, 12, 14,</w:t>
            </w:r>
          </w:p>
          <w:p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17, 20 мм</w:t>
            </w:r>
          </w:p>
          <w:p>
            <w:pPr>
              <w:rPr>
                <w:rFonts w:ascii="Times New Roman" w:hAnsi="Times New Roman" w:cs="Times New Roman"/>
                <w:b/>
                <w:bCs/>
              </w:rPr>
            </w:pP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Материал  </w:t>
            </w:r>
          </w:p>
          <w:p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Сверхвысокомолекулярный полиэтилен</w:t>
            </w:r>
          </w:p>
        </w:tc>
        <w:tc>
          <w:tcPr>
            <w:tcW w:w="3754" w:type="dxa"/>
          </w:tcPr>
          <w:p>
            <w:pPr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ru-RU"/>
              </w:rPr>
              <w:drawing>
                <wp:inline distT="0" distB="0" distL="0" distR="0">
                  <wp:extent cx="1674933" cy="1706880"/>
                  <wp:effectExtent l="0" t="0" r="1905" b="762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951" cy="17150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rPr>
          <w:rFonts w:ascii="Times New Roman" w:hAnsi="Times New Roman" w:cs="Times New Roman"/>
          <w:sz w:val="32"/>
          <w:szCs w:val="32"/>
        </w:rPr>
      </w:pPr>
    </w:p>
    <w:sectPr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9F0107"/>
    <w:multiLevelType w:val="hybridMultilevel"/>
    <w:tmpl w:val="54E444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DFC175-9B87-4B1E-9689-51C734831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semiHidden/>
    <w:unhideWhenUsed/>
    <w:qFormat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a3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semiHidden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40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2021-12-10T10:17:00Z</dcterms:created>
  <dcterms:modified xsi:type="dcterms:W3CDTF">2025-05-07T02:23:00Z</dcterms:modified>
</cp:coreProperties>
</file>